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STZhongsong" w:cs="STZhongsong" w:hAnsi="STZhongsong" w:eastAsia="STZhongsong"/>
          <w:sz w:val="36"/>
          <w:szCs w:val="36"/>
        </w:rPr>
      </w:pPr>
      <w:r>
        <w:rPr>
          <w:rFonts w:eastAsia="STZhongsong" w:hint="eastAsia"/>
          <w:sz w:val="36"/>
          <w:szCs w:val="36"/>
          <w:rtl w:val="0"/>
          <w:lang w:val="zh-TW" w:eastAsia="zh-TW"/>
        </w:rPr>
        <w:t>第十届全国大学生电子商务</w:t>
      </w:r>
      <w:r>
        <w:rPr>
          <w:rFonts w:ascii="STZhongsong" w:hAnsi="STZhongsong" w:hint="default"/>
          <w:sz w:val="36"/>
          <w:szCs w:val="36"/>
          <w:rtl w:val="0"/>
          <w:lang w:val="en-US"/>
        </w:rPr>
        <w:t>“</w:t>
      </w:r>
      <w:r>
        <w:rPr>
          <w:rFonts w:eastAsia="STZhongsong" w:hint="eastAsia"/>
          <w:sz w:val="36"/>
          <w:szCs w:val="36"/>
          <w:rtl w:val="0"/>
          <w:lang w:val="zh-TW" w:eastAsia="zh-TW"/>
        </w:rPr>
        <w:t>创新、创意及创业</w:t>
      </w:r>
      <w:r>
        <w:rPr>
          <w:rFonts w:ascii="STZhongsong" w:hAnsi="STZhongsong" w:hint="default"/>
          <w:sz w:val="36"/>
          <w:szCs w:val="36"/>
          <w:rtl w:val="0"/>
          <w:lang w:val="en-US"/>
        </w:rPr>
        <w:t>”</w:t>
      </w:r>
    </w:p>
    <w:p>
      <w:pPr>
        <w:pStyle w:val="Normal.0"/>
        <w:jc w:val="center"/>
        <w:rPr>
          <w:rFonts w:ascii="STZhongsong" w:cs="STZhongsong" w:hAnsi="STZhongsong" w:eastAsia="STZhongsong"/>
          <w:sz w:val="36"/>
          <w:szCs w:val="36"/>
          <w:lang w:val="zh-TW" w:eastAsia="zh-TW"/>
        </w:rPr>
      </w:pPr>
      <w:r>
        <w:rPr>
          <w:rFonts w:eastAsia="STZhongsong" w:hint="eastAsia"/>
          <w:sz w:val="36"/>
          <w:szCs w:val="36"/>
          <w:rtl w:val="0"/>
          <w:lang w:val="zh-TW" w:eastAsia="zh-TW"/>
        </w:rPr>
        <w:t>挑战赛上海工程技术大学校赛计划书</w:t>
      </w:r>
    </w:p>
    <w:p>
      <w:pPr>
        <w:pStyle w:val="Normal.0"/>
        <w:spacing w:line="360" w:lineRule="auto"/>
        <w:rPr>
          <w:b w:val="1"/>
          <w:bCs w:val="1"/>
          <w:sz w:val="32"/>
          <w:szCs w:val="32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一、组织单位</w:t>
      </w:r>
    </w:p>
    <w:p>
      <w:pPr>
        <w:pStyle w:val="Normal.0"/>
        <w:spacing w:line="360" w:lineRule="auto"/>
        <w:rPr>
          <w:sz w:val="24"/>
          <w:szCs w:val="24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主办单位：全国电子商务创新产教联盟</w:t>
      </w:r>
    </w:p>
    <w:p>
      <w:pPr>
        <w:pStyle w:val="Normal.0"/>
        <w:spacing w:line="360" w:lineRule="auto"/>
        <w:rPr>
          <w:sz w:val="24"/>
          <w:szCs w:val="24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承办单位：上海工程技术大学管理学院</w:t>
      </w:r>
    </w:p>
    <w:p>
      <w:pPr>
        <w:pStyle w:val="Normal.0"/>
        <w:rPr>
          <w:b w:val="1"/>
          <w:bCs w:val="1"/>
          <w:sz w:val="32"/>
          <w:szCs w:val="32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二、评审组</w:t>
      </w:r>
    </w:p>
    <w:tbl>
      <w:tblPr>
        <w:tblW w:w="830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57"/>
        <w:gridCol w:w="7143"/>
      </w:tblGrid>
      <w:tr>
        <w:tblPrEx>
          <w:shd w:val="clear" w:color="auto" w:fill="d0ddef"/>
        </w:tblPrEx>
        <w:trPr>
          <w:trHeight w:val="350" w:hRule="atLeast"/>
        </w:trPr>
        <w:tc>
          <w:tcPr>
            <w:tcW w:type="dxa" w:w="1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type="dxa" w:w="7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zh-TW" w:eastAsia="zh-TW"/>
              </w:rPr>
              <w:t>单位及职称</w:t>
            </w:r>
          </w:p>
        </w:tc>
      </w:tr>
      <w:tr>
        <w:tblPrEx>
          <w:shd w:val="clear" w:color="auto" w:fill="d0ddef"/>
        </w:tblPrEx>
        <w:trPr>
          <w:trHeight w:val="350" w:hRule="atLeast"/>
        </w:trPr>
        <w:tc>
          <w:tcPr>
            <w:tcW w:type="dxa" w:w="1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李跃文</w:t>
            </w:r>
          </w:p>
        </w:tc>
        <w:tc>
          <w:tcPr>
            <w:tcW w:type="dxa" w:w="7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zh-TW" w:eastAsia="zh-TW"/>
              </w:rPr>
              <w:t>上海工程技术大学副教授</w:t>
            </w:r>
          </w:p>
        </w:tc>
      </w:tr>
      <w:tr>
        <w:tblPrEx>
          <w:shd w:val="clear" w:color="auto" w:fill="d0ddef"/>
        </w:tblPrEx>
        <w:trPr>
          <w:trHeight w:val="350" w:hRule="atLeast"/>
        </w:trPr>
        <w:tc>
          <w:tcPr>
            <w:tcW w:type="dxa" w:w="1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1"/>
                <w:szCs w:val="21"/>
                <w:rtl w:val="0"/>
                <w:lang w:val="zh-TW" w:eastAsia="zh-TW"/>
              </w:rPr>
              <w:t>梁鑫</w:t>
            </w:r>
          </w:p>
        </w:tc>
        <w:tc>
          <w:tcPr>
            <w:tcW w:type="dxa" w:w="7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zh-TW" w:eastAsia="zh-TW"/>
              </w:rPr>
              <w:t>上海工程技术大学副教授</w:t>
            </w:r>
          </w:p>
        </w:tc>
      </w:tr>
      <w:tr>
        <w:tblPrEx>
          <w:shd w:val="clear" w:color="auto" w:fill="d0ddef"/>
        </w:tblPrEx>
        <w:trPr>
          <w:trHeight w:val="350" w:hRule="atLeast"/>
        </w:trPr>
        <w:tc>
          <w:tcPr>
            <w:tcW w:type="dxa" w:w="1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zh-TW" w:eastAsia="zh-TW"/>
              </w:rPr>
              <w:t>李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zh-CN" w:eastAsia="zh-CN"/>
              </w:rPr>
              <w:t>旭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zh-TW" w:eastAsia="zh-TW"/>
              </w:rPr>
              <w:t>芳</w:t>
            </w:r>
          </w:p>
        </w:tc>
        <w:tc>
          <w:tcPr>
            <w:tcW w:type="dxa" w:w="7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zh-TW" w:eastAsia="zh-TW"/>
              </w:rPr>
              <w:t>上海工程技术大学副教授</w:t>
            </w:r>
          </w:p>
        </w:tc>
      </w:tr>
      <w:tr>
        <w:tblPrEx>
          <w:shd w:val="clear" w:color="auto" w:fill="d0ddef"/>
        </w:tblPrEx>
        <w:trPr>
          <w:trHeight w:val="350" w:hRule="atLeast"/>
        </w:trPr>
        <w:tc>
          <w:tcPr>
            <w:tcW w:type="dxa" w:w="1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zh-TW" w:eastAsia="zh-TW"/>
              </w:rPr>
              <w:t>闫国东</w:t>
            </w:r>
          </w:p>
        </w:tc>
        <w:tc>
          <w:tcPr>
            <w:tcW w:type="dxa" w:w="7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zh-TW" w:eastAsia="zh-TW"/>
              </w:rPr>
              <w:t>上海工程技术大学副教授</w:t>
            </w:r>
          </w:p>
        </w:tc>
      </w:tr>
      <w:tr>
        <w:tblPrEx>
          <w:shd w:val="clear" w:color="auto" w:fill="d0ddef"/>
        </w:tblPrEx>
        <w:trPr>
          <w:trHeight w:val="350" w:hRule="atLeast"/>
        </w:trPr>
        <w:tc>
          <w:tcPr>
            <w:tcW w:type="dxa" w:w="1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zh-TW" w:eastAsia="zh-TW"/>
              </w:rPr>
              <w:t>刘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zh-CN" w:eastAsia="zh-CN"/>
              </w:rPr>
              <w:t>铮</w:t>
            </w:r>
          </w:p>
        </w:tc>
        <w:tc>
          <w:tcPr>
            <w:tcW w:type="dxa" w:w="7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zh-TW" w:eastAsia="zh-TW"/>
              </w:rPr>
              <w:t>上海工程技术大学副教授</w:t>
            </w:r>
          </w:p>
        </w:tc>
      </w:tr>
      <w:tr>
        <w:tblPrEx>
          <w:shd w:val="clear" w:color="auto" w:fill="d0ddef"/>
        </w:tblPrEx>
        <w:trPr>
          <w:trHeight w:val="350" w:hRule="atLeast"/>
        </w:trPr>
        <w:tc>
          <w:tcPr>
            <w:tcW w:type="dxa" w:w="1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1"/>
                <w:szCs w:val="21"/>
                <w:rtl w:val="0"/>
                <w:lang w:val="zh-TW" w:eastAsia="zh-TW"/>
              </w:rPr>
              <w:t>邵明</w:t>
            </w:r>
          </w:p>
        </w:tc>
        <w:tc>
          <w:tcPr>
            <w:tcW w:type="dxa" w:w="7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zh-TW" w:eastAsia="zh-TW"/>
              </w:rPr>
              <w:t>上海工程技术大学讲师</w:t>
            </w:r>
          </w:p>
        </w:tc>
      </w:tr>
      <w:tr>
        <w:tblPrEx>
          <w:shd w:val="clear" w:color="auto" w:fill="d0ddef"/>
        </w:tblPrEx>
        <w:trPr>
          <w:trHeight w:val="350" w:hRule="atLeast"/>
        </w:trPr>
        <w:tc>
          <w:tcPr>
            <w:tcW w:type="dxa" w:w="1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刘笑</w:t>
            </w:r>
          </w:p>
        </w:tc>
        <w:tc>
          <w:tcPr>
            <w:tcW w:type="dxa" w:w="7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zh-TW" w:eastAsia="zh-TW"/>
              </w:rPr>
              <w:t>上海工程技术大学讲师</w:t>
            </w:r>
          </w:p>
        </w:tc>
      </w:tr>
      <w:tr>
        <w:tblPrEx>
          <w:shd w:val="clear" w:color="auto" w:fill="d0ddef"/>
        </w:tblPrEx>
        <w:trPr>
          <w:trHeight w:val="350" w:hRule="atLeast"/>
        </w:trPr>
        <w:tc>
          <w:tcPr>
            <w:tcW w:type="dxa" w:w="1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rtl w:val="0"/>
                <w:lang w:val="zh-TW" w:eastAsia="zh-TW"/>
              </w:rPr>
              <w:t>张晓燕</w:t>
            </w:r>
          </w:p>
        </w:tc>
        <w:tc>
          <w:tcPr>
            <w:tcW w:type="dxa" w:w="7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sz w:val="24"/>
                <w:szCs w:val="24"/>
                <w:rtl w:val="0"/>
                <w:lang w:val="zh-TW" w:eastAsia="zh-TW"/>
              </w:rPr>
              <w:t>上海工程技术大学讲师</w:t>
            </w:r>
          </w:p>
        </w:tc>
      </w:tr>
    </w:tbl>
    <w:p>
      <w:pPr>
        <w:pStyle w:val="Normal.0"/>
        <w:jc w:val="center"/>
        <w:rPr>
          <w:b w:val="1"/>
          <w:bCs w:val="1"/>
          <w:sz w:val="32"/>
          <w:szCs w:val="32"/>
          <w:lang w:val="zh-TW" w:eastAsia="zh-TW"/>
        </w:rPr>
      </w:pPr>
    </w:p>
    <w:p>
      <w:pPr>
        <w:pStyle w:val="Normal.0"/>
        <w:spacing w:line="360" w:lineRule="auto"/>
        <w:rPr>
          <w:b w:val="1"/>
          <w:bCs w:val="1"/>
          <w:sz w:val="32"/>
          <w:szCs w:val="32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三、竞赛方式</w:t>
      </w:r>
    </w:p>
    <w:p>
      <w:pPr>
        <w:pStyle w:val="Normal.0"/>
        <w:spacing w:line="360" w:lineRule="auto"/>
        <w:ind w:firstLine="420"/>
        <w:rPr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竞赛内容围绕创新、创意、创业三方面开展。每个参赛队需提前向校赛秘书组提交五份创业计划书（纸质版）及答辩</w:t>
      </w:r>
      <w:r>
        <w:rPr>
          <w:rFonts w:ascii="Calibri" w:hAnsi="Calibri"/>
          <w:sz w:val="24"/>
          <w:szCs w:val="24"/>
          <w:rtl w:val="0"/>
          <w:lang w:val="en-US"/>
        </w:rPr>
        <w:t>ppt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（电子版），并按时参加校赛答辩。</w:t>
      </w:r>
    </w:p>
    <w:p>
      <w:pPr>
        <w:pStyle w:val="Normal.0"/>
        <w:spacing w:line="360" w:lineRule="auto"/>
        <w:ind w:firstLine="420"/>
        <w:rPr>
          <w:sz w:val="24"/>
          <w:szCs w:val="24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答辩要求：除以下要求外，可自行增加内容）</w:t>
      </w:r>
    </w:p>
    <w:p>
      <w:pPr>
        <w:pStyle w:val="Normal.0"/>
        <w:spacing w:line="360" w:lineRule="auto"/>
        <w:ind w:firstLine="420"/>
        <w:rPr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（</w:t>
      </w:r>
      <w:r>
        <w:rPr>
          <w:rFonts w:ascii="Calibri" w:hAnsi="Calibri"/>
          <w:sz w:val="24"/>
          <w:szCs w:val="24"/>
          <w:rtl w:val="0"/>
          <w:lang w:val="en-US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）各参赛团队答辩时，不能由非本团队人员代替答辩。</w:t>
      </w:r>
    </w:p>
    <w:p>
      <w:pPr>
        <w:pStyle w:val="Normal.0"/>
        <w:spacing w:line="360" w:lineRule="auto"/>
        <w:ind w:firstLine="420"/>
        <w:rPr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（</w:t>
      </w:r>
      <w:r>
        <w:rPr>
          <w:rFonts w:ascii="Calibri" w:hAnsi="Calibri"/>
          <w:sz w:val="24"/>
          <w:szCs w:val="24"/>
          <w:rtl w:val="0"/>
          <w:lang w:val="en-US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）每个团队答辩时间共为</w:t>
      </w:r>
      <w:r>
        <w:rPr>
          <w:rFonts w:ascii="Calibri" w:hAnsi="Calibri"/>
          <w:sz w:val="24"/>
          <w:szCs w:val="24"/>
          <w:rtl w:val="0"/>
          <w:lang w:val="en-US"/>
        </w:rPr>
        <w:t>15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分钟，其中团队陈述时间为</w:t>
      </w:r>
      <w:r>
        <w:rPr>
          <w:rFonts w:ascii="Calibri" w:hAnsi="Calibri"/>
          <w:sz w:val="24"/>
          <w:szCs w:val="24"/>
          <w:rtl w:val="0"/>
          <w:lang w:val="en-US"/>
        </w:rPr>
        <w:t>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分钟；提问与回答时间为</w:t>
      </w:r>
      <w:r>
        <w:rPr>
          <w:rFonts w:ascii="Calibri" w:hAnsi="Calibri"/>
          <w:sz w:val="24"/>
          <w:szCs w:val="24"/>
          <w:rtl w:val="0"/>
          <w:lang w:val="en-US"/>
        </w:rPr>
        <w:t>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分钟。在</w:t>
      </w:r>
      <w:r>
        <w:rPr>
          <w:rFonts w:ascii="Calibri" w:hAnsi="Calibri"/>
          <w:sz w:val="24"/>
          <w:szCs w:val="24"/>
          <w:rtl w:val="0"/>
          <w:lang w:val="en-US"/>
        </w:rPr>
        <w:t>8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分钟截止时，和</w:t>
      </w:r>
      <w:r>
        <w:rPr>
          <w:rFonts w:ascii="Calibri" w:hAnsi="Calibri"/>
          <w:sz w:val="24"/>
          <w:szCs w:val="24"/>
          <w:rtl w:val="0"/>
          <w:lang w:val="en-US"/>
        </w:rPr>
        <w:t>15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分钟截止时赛场工作人员明示时间到，评委和参赛选手均不得拖延时间。</w:t>
      </w:r>
    </w:p>
    <w:p>
      <w:pPr>
        <w:pStyle w:val="Normal.0"/>
        <w:spacing w:line="360" w:lineRule="auto"/>
        <w:ind w:firstLine="420"/>
        <w:rPr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（</w:t>
      </w:r>
      <w:r>
        <w:rPr>
          <w:rFonts w:ascii="Calibri" w:hAnsi="Calibri"/>
          <w:sz w:val="24"/>
          <w:szCs w:val="24"/>
          <w:rtl w:val="0"/>
          <w:lang w:val="en-US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）参赛队在工作人员指引下按次序进入答辩室进行答辩。</w:t>
      </w:r>
    </w:p>
    <w:p>
      <w:pPr>
        <w:pStyle w:val="Normal.0"/>
        <w:rPr>
          <w:b w:val="1"/>
          <w:bCs w:val="1"/>
          <w:sz w:val="32"/>
          <w:szCs w:val="32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四、评分标准</w:t>
      </w:r>
    </w:p>
    <w:tbl>
      <w:tblPr>
        <w:tblW w:w="807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66"/>
        <w:gridCol w:w="5264"/>
        <w:gridCol w:w="1540"/>
      </w:tblGrid>
      <w:tr>
        <w:tblPrEx>
          <w:shd w:val="clear" w:color="auto" w:fill="d0ddef"/>
        </w:tblPrEx>
        <w:trPr>
          <w:trHeight w:val="266" w:hRule="atLeast"/>
        </w:trPr>
        <w:tc>
          <w:tcPr>
            <w:tcW w:type="dxa" w:w="12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SimSun" w:hint="eastAsia"/>
                <w:kern w:val="0"/>
                <w:sz w:val="24"/>
                <w:szCs w:val="24"/>
                <w:rtl w:val="0"/>
                <w:lang w:val="zh-TW" w:eastAsia="zh-TW"/>
              </w:rPr>
              <w:t>评分项目</w:t>
            </w:r>
          </w:p>
        </w:tc>
        <w:tc>
          <w:tcPr>
            <w:tcW w:type="dxa" w:w="52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ind w:firstLine="602"/>
              <w:jc w:val="center"/>
            </w:pPr>
            <w:r>
              <w:rPr>
                <w:rFonts w:eastAsia="SimSun" w:hint="eastAsia"/>
                <w:kern w:val="0"/>
                <w:sz w:val="24"/>
                <w:szCs w:val="24"/>
                <w:rtl w:val="0"/>
                <w:lang w:val="zh-TW" w:eastAsia="zh-TW"/>
              </w:rPr>
              <w:t>评分说明</w:t>
            </w:r>
          </w:p>
        </w:tc>
        <w:tc>
          <w:tcPr>
            <w:tcW w:type="dxa" w:w="15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SimSun" w:hint="eastAsia"/>
                <w:kern w:val="0"/>
                <w:sz w:val="24"/>
                <w:szCs w:val="24"/>
                <w:rtl w:val="0"/>
                <w:lang w:val="zh-TW" w:eastAsia="zh-TW"/>
              </w:rPr>
              <w:t>项目分值</w:t>
            </w:r>
          </w:p>
        </w:tc>
      </w:tr>
      <w:tr>
        <w:tblPrEx>
          <w:shd w:val="clear" w:color="auto" w:fill="d0ddef"/>
        </w:tblPrEx>
        <w:trPr>
          <w:trHeight w:val="546" w:hRule="atLeast"/>
        </w:trPr>
        <w:tc>
          <w:tcPr>
            <w:tcW w:type="dxa" w:w="12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  <w:rPr>
                <w:rFonts w:ascii="SimSun" w:cs="SimSun" w:hAnsi="SimSun" w:eastAsia="SimSun"/>
                <w:kern w:val="0"/>
                <w:sz w:val="24"/>
                <w:szCs w:val="24"/>
              </w:rPr>
            </w:pPr>
            <w:r>
              <w:rPr>
                <w:rFonts w:eastAsia="SimSun" w:hint="eastAsia"/>
                <w:kern w:val="0"/>
                <w:sz w:val="24"/>
                <w:szCs w:val="24"/>
                <w:rtl w:val="0"/>
                <w:lang w:val="zh-TW" w:eastAsia="zh-TW"/>
              </w:rPr>
              <w:t>实用性与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SimSun" w:hint="eastAsia"/>
                <w:kern w:val="0"/>
                <w:sz w:val="24"/>
                <w:szCs w:val="24"/>
                <w:rtl w:val="0"/>
                <w:lang w:val="zh-TW" w:eastAsia="zh-TW"/>
              </w:rPr>
              <w:t>创新能力</w:t>
            </w:r>
          </w:p>
        </w:tc>
        <w:tc>
          <w:tcPr>
            <w:tcW w:type="dxa" w:w="52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left"/>
            </w:pPr>
            <w:r>
              <w:rPr>
                <w:rFonts w:eastAsia="SimSun" w:hint="eastAsia"/>
                <w:kern w:val="0"/>
                <w:sz w:val="24"/>
                <w:szCs w:val="24"/>
                <w:rtl w:val="0"/>
                <w:lang w:val="zh-TW" w:eastAsia="zh-TW"/>
              </w:rPr>
              <w:t>面向现实应用问题，具有解决问题的实用价值，体现出创新能力与元素，对目标企业有吸引力。</w:t>
            </w:r>
          </w:p>
        </w:tc>
        <w:tc>
          <w:tcPr>
            <w:tcW w:type="dxa" w:w="15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ind w:firstLine="480"/>
            </w:pPr>
            <w:r>
              <w:rPr>
                <w:rFonts w:ascii="SimSun" w:hAnsi="SimSun"/>
                <w:kern w:val="0"/>
                <w:sz w:val="24"/>
                <w:szCs w:val="24"/>
                <w:rtl w:val="0"/>
                <w:lang w:val="en-US"/>
              </w:rPr>
              <w:t>15</w:t>
            </w:r>
          </w:p>
        </w:tc>
      </w:tr>
      <w:tr>
        <w:tblPrEx>
          <w:shd w:val="clear" w:color="auto" w:fill="d0ddef"/>
        </w:tblPrEx>
        <w:trPr>
          <w:trHeight w:val="546" w:hRule="atLeast"/>
        </w:trPr>
        <w:tc>
          <w:tcPr>
            <w:tcW w:type="dxa" w:w="12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SimSun" w:hint="eastAsia"/>
                <w:kern w:val="0"/>
                <w:sz w:val="24"/>
                <w:szCs w:val="24"/>
                <w:rtl w:val="0"/>
                <w:lang w:val="zh-TW" w:eastAsia="zh-TW"/>
              </w:rPr>
              <w:t>产品与服务</w:t>
            </w:r>
          </w:p>
        </w:tc>
        <w:tc>
          <w:tcPr>
            <w:tcW w:type="dxa" w:w="52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left"/>
            </w:pPr>
            <w:r>
              <w:rPr>
                <w:rFonts w:eastAsia="SimSun" w:hint="eastAsia"/>
                <w:kern w:val="0"/>
                <w:sz w:val="24"/>
                <w:szCs w:val="24"/>
                <w:rtl w:val="0"/>
                <w:lang w:val="zh-TW" w:eastAsia="zh-TW"/>
              </w:rPr>
              <w:t>对产品与服务的描述清晰，特色鲜明，有较显著的竞争优势或市场优势。</w:t>
            </w:r>
          </w:p>
        </w:tc>
        <w:tc>
          <w:tcPr>
            <w:tcW w:type="dxa" w:w="15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ind w:firstLine="480"/>
            </w:pPr>
            <w:r>
              <w:rPr>
                <w:rFonts w:ascii="SimSun" w:hAnsi="SimSun"/>
                <w:kern w:val="0"/>
                <w:sz w:val="24"/>
                <w:szCs w:val="24"/>
                <w:rtl w:val="0"/>
                <w:lang w:val="en-US"/>
              </w:rPr>
              <w:t>15</w:t>
            </w:r>
          </w:p>
        </w:tc>
      </w:tr>
      <w:tr>
        <w:tblPrEx>
          <w:shd w:val="clear" w:color="auto" w:fill="d0ddef"/>
        </w:tblPrEx>
        <w:trPr>
          <w:trHeight w:val="826" w:hRule="atLeast"/>
        </w:trPr>
        <w:tc>
          <w:tcPr>
            <w:tcW w:type="dxa" w:w="12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SimSun" w:hint="eastAsia"/>
                <w:kern w:val="0"/>
                <w:sz w:val="24"/>
                <w:szCs w:val="24"/>
                <w:rtl w:val="0"/>
                <w:lang w:val="zh-TW" w:eastAsia="zh-TW"/>
              </w:rPr>
              <w:t>市场分析</w:t>
            </w:r>
          </w:p>
        </w:tc>
        <w:tc>
          <w:tcPr>
            <w:tcW w:type="dxa" w:w="52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left"/>
            </w:pPr>
            <w:r>
              <w:rPr>
                <w:rFonts w:eastAsia="SimSun" w:hint="eastAsia"/>
                <w:kern w:val="0"/>
                <w:sz w:val="24"/>
                <w:szCs w:val="24"/>
                <w:rtl w:val="0"/>
                <w:lang w:val="zh-TW" w:eastAsia="zh-TW"/>
              </w:rPr>
              <w:t>对产品或服务的市场容量、市场定位与竞争力等进行合理的分析，方法恰当、内容具体，对目标企业具有较强的说服力。</w:t>
            </w:r>
          </w:p>
        </w:tc>
        <w:tc>
          <w:tcPr>
            <w:tcW w:type="dxa" w:w="15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ind w:firstLine="480"/>
            </w:pPr>
            <w:r>
              <w:rPr>
                <w:rFonts w:ascii="SimSun" w:hAnsi="SimSun"/>
                <w:kern w:val="0"/>
                <w:sz w:val="24"/>
                <w:szCs w:val="24"/>
                <w:rtl w:val="0"/>
                <w:lang w:val="en-US"/>
              </w:rPr>
              <w:t>15</w:t>
            </w:r>
          </w:p>
        </w:tc>
      </w:tr>
      <w:tr>
        <w:tblPrEx>
          <w:shd w:val="clear" w:color="auto" w:fill="d0ddef"/>
        </w:tblPrEx>
        <w:trPr>
          <w:trHeight w:val="826" w:hRule="atLeast"/>
        </w:trPr>
        <w:tc>
          <w:tcPr>
            <w:tcW w:type="dxa" w:w="12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SimSun" w:hint="eastAsia"/>
                <w:kern w:val="0"/>
                <w:sz w:val="24"/>
                <w:szCs w:val="24"/>
                <w:rtl w:val="0"/>
                <w:lang w:val="zh-TW" w:eastAsia="zh-TW"/>
              </w:rPr>
              <w:t>营销策略</w:t>
            </w:r>
          </w:p>
        </w:tc>
        <w:tc>
          <w:tcPr>
            <w:tcW w:type="dxa" w:w="52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left"/>
            </w:pPr>
            <w:r>
              <w:rPr>
                <w:rFonts w:eastAsia="SimSun" w:hint="eastAsia"/>
                <w:kern w:val="0"/>
                <w:sz w:val="24"/>
                <w:szCs w:val="24"/>
                <w:rtl w:val="0"/>
                <w:lang w:val="zh-TW" w:eastAsia="zh-TW"/>
              </w:rPr>
              <w:t>对营销策略、营销成本、产品与服务定价、营销渠道及其拓展、促销方式等进行深入分析，具有吸引力、可行性和一定的创新性。</w:t>
            </w:r>
          </w:p>
        </w:tc>
        <w:tc>
          <w:tcPr>
            <w:tcW w:type="dxa" w:w="15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ind w:firstLine="480"/>
            </w:pPr>
            <w:r>
              <w:rPr>
                <w:rFonts w:ascii="SimSun" w:hAnsi="SimSun"/>
                <w:kern w:val="0"/>
                <w:sz w:val="24"/>
                <w:szCs w:val="24"/>
                <w:rtl w:val="0"/>
                <w:lang w:val="en-US"/>
              </w:rPr>
              <w:t>15</w:t>
            </w:r>
          </w:p>
        </w:tc>
      </w:tr>
      <w:tr>
        <w:tblPrEx>
          <w:shd w:val="clear" w:color="auto" w:fill="d0ddef"/>
        </w:tblPrEx>
        <w:trPr>
          <w:trHeight w:val="546" w:hRule="atLeast"/>
        </w:trPr>
        <w:tc>
          <w:tcPr>
            <w:tcW w:type="dxa" w:w="12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SimSun" w:hint="eastAsia"/>
                <w:kern w:val="0"/>
                <w:sz w:val="24"/>
                <w:szCs w:val="24"/>
                <w:rtl w:val="0"/>
                <w:lang w:val="zh-TW" w:eastAsia="zh-TW"/>
              </w:rPr>
              <w:t>方案实现</w:t>
            </w:r>
          </w:p>
        </w:tc>
        <w:tc>
          <w:tcPr>
            <w:tcW w:type="dxa" w:w="52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left"/>
            </w:pPr>
            <w:r>
              <w:rPr>
                <w:rFonts w:eastAsia="SimSun" w:hint="eastAsia"/>
                <w:kern w:val="0"/>
                <w:sz w:val="24"/>
                <w:szCs w:val="24"/>
                <w:rtl w:val="0"/>
                <w:lang w:val="zh-TW" w:eastAsia="zh-TW"/>
              </w:rPr>
              <w:t>通过功能设置、技术实现等，设计并实施具体解决方案，需求分析到位，解决方案设计合理。</w:t>
            </w:r>
          </w:p>
        </w:tc>
        <w:tc>
          <w:tcPr>
            <w:tcW w:type="dxa" w:w="15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ind w:firstLine="480"/>
            </w:pPr>
            <w:r>
              <w:rPr>
                <w:rFonts w:ascii="SimSun" w:hAnsi="SimSun"/>
                <w:kern w:val="0"/>
                <w:sz w:val="24"/>
                <w:szCs w:val="24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d0ddef"/>
        </w:tblPrEx>
        <w:trPr>
          <w:trHeight w:val="1106" w:hRule="atLeast"/>
        </w:trPr>
        <w:tc>
          <w:tcPr>
            <w:tcW w:type="dxa" w:w="12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eastAsia="SimSun" w:hint="eastAsia"/>
                <w:kern w:val="0"/>
                <w:sz w:val="24"/>
                <w:szCs w:val="24"/>
                <w:rtl w:val="0"/>
                <w:lang w:val="zh-TW" w:eastAsia="zh-TW"/>
              </w:rPr>
              <w:t>总体评价</w:t>
            </w:r>
          </w:p>
        </w:tc>
        <w:tc>
          <w:tcPr>
            <w:tcW w:type="dxa" w:w="52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left"/>
            </w:pPr>
            <w:r>
              <w:rPr>
                <w:rFonts w:eastAsia="SimSun" w:hint="eastAsia"/>
                <w:kern w:val="0"/>
                <w:sz w:val="24"/>
                <w:szCs w:val="24"/>
                <w:rtl w:val="0"/>
                <w:lang w:val="zh-TW" w:eastAsia="zh-TW"/>
              </w:rPr>
              <w:t>背景及现状介绍清楚；团队结构合理，工作努力；商业目的明确、合理；公司市场定位准确；创意、创新、创业理念出色；对专家提问理解正确、回答流畅、内容准确可信。</w:t>
            </w:r>
          </w:p>
        </w:tc>
        <w:tc>
          <w:tcPr>
            <w:tcW w:type="dxa" w:w="15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ind w:firstLine="480"/>
            </w:pPr>
            <w:r>
              <w:rPr>
                <w:rFonts w:ascii="SimSun" w:hAnsi="SimSun"/>
                <w:kern w:val="0"/>
                <w:sz w:val="24"/>
                <w:szCs w:val="24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d0ddef"/>
        </w:tblPrEx>
        <w:trPr>
          <w:trHeight w:val="266" w:hRule="atLeast"/>
        </w:trPr>
        <w:tc>
          <w:tcPr>
            <w:tcW w:type="dxa" w:w="6530"/>
            <w:gridSpan w:val="2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ind w:firstLine="562"/>
              <w:jc w:val="center"/>
            </w:pPr>
            <w:r>
              <w:rPr>
                <w:rFonts w:eastAsia="SimSun" w:hint="eastAsia"/>
                <w:kern w:val="0"/>
                <w:sz w:val="24"/>
                <w:szCs w:val="24"/>
                <w:rtl w:val="0"/>
                <w:lang w:val="zh-TW" w:eastAsia="zh-TW"/>
              </w:rPr>
              <w:t>得分合计</w:t>
            </w:r>
          </w:p>
        </w:tc>
        <w:tc>
          <w:tcPr>
            <w:tcW w:type="dxa" w:w="15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ind w:firstLine="480"/>
            </w:pPr>
            <w:r>
              <w:rPr>
                <w:rFonts w:ascii="SimSun" w:hAnsi="SimSun"/>
                <w:kern w:val="0"/>
                <w:sz w:val="24"/>
                <w:szCs w:val="24"/>
                <w:rtl w:val="0"/>
                <w:lang w:val="en-US"/>
              </w:rPr>
              <w:t>100</w:t>
            </w:r>
          </w:p>
        </w:tc>
      </w:tr>
    </w:tbl>
    <w:p>
      <w:pPr>
        <w:pStyle w:val="Normal.0"/>
        <w:jc w:val="center"/>
        <w:rPr>
          <w:b w:val="1"/>
          <w:bCs w:val="1"/>
          <w:sz w:val="32"/>
          <w:szCs w:val="32"/>
          <w:lang w:val="zh-TW" w:eastAsia="zh-TW"/>
        </w:rPr>
      </w:pPr>
    </w:p>
    <w:p>
      <w:pPr>
        <w:pStyle w:val="Normal.0"/>
        <w:rPr>
          <w:b w:val="1"/>
          <w:bCs w:val="1"/>
          <w:sz w:val="32"/>
          <w:szCs w:val="32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五、奖项及奖品设置</w:t>
      </w:r>
    </w:p>
    <w:p>
      <w:pPr>
        <w:pStyle w:val="Normal.0"/>
        <w:rPr>
          <w:b w:val="1"/>
          <w:bCs w:val="1"/>
          <w:sz w:val="24"/>
          <w:szCs w:val="24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奖项设置</w:t>
      </w:r>
    </w:p>
    <w:p>
      <w:pPr>
        <w:pStyle w:val="Normal.0"/>
        <w:ind w:left="210" w:firstLine="0"/>
        <w:jc w:val="left"/>
        <w:rPr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f0000"/>
          <w:sz w:val="24"/>
          <w:szCs w:val="24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>一等奖：</w:t>
      </w:r>
      <w:r>
        <w:rPr>
          <w:rFonts w:ascii="Calibri" w:hAnsi="Calibri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f0000"/>
          <w:sz w:val="24"/>
          <w:szCs w:val="24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>项</w:t>
      </w:r>
    </w:p>
    <w:p>
      <w:pPr>
        <w:pStyle w:val="Normal.0"/>
        <w:ind w:left="210" w:firstLine="0"/>
        <w:jc w:val="left"/>
        <w:rPr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f0000"/>
          <w:sz w:val="24"/>
          <w:szCs w:val="24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>二等奖：</w:t>
      </w:r>
      <w:r>
        <w:rPr>
          <w:rFonts w:ascii="Calibri" w:hAnsi="Calibri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f0000"/>
          <w:sz w:val="24"/>
          <w:szCs w:val="24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>项</w:t>
      </w:r>
    </w:p>
    <w:p>
      <w:pPr>
        <w:pStyle w:val="Normal.0"/>
        <w:ind w:left="210" w:firstLine="0"/>
        <w:jc w:val="left"/>
        <w:rPr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f0000"/>
          <w:sz w:val="24"/>
          <w:szCs w:val="24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>三等奖：</w:t>
      </w:r>
      <w:r>
        <w:rPr>
          <w:rFonts w:ascii="Calibri" w:hAnsi="Calibri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f0000"/>
          <w:sz w:val="24"/>
          <w:szCs w:val="24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>项</w:t>
      </w:r>
    </w:p>
    <w:p>
      <w:pPr>
        <w:pStyle w:val="Normal.0"/>
        <w:ind w:left="210" w:firstLine="0"/>
        <w:rPr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f0000"/>
          <w:sz w:val="24"/>
          <w:szCs w:val="24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>最佳创新奖：</w:t>
      </w:r>
      <w:r>
        <w:rPr>
          <w:rFonts w:ascii="Calibri" w:hAnsi="Calibri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f0000"/>
          <w:sz w:val="24"/>
          <w:szCs w:val="24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>项</w:t>
      </w:r>
    </w:p>
    <w:p>
      <w:pPr>
        <w:pStyle w:val="Normal.0"/>
        <w:ind w:left="210" w:firstLine="0"/>
        <w:rPr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f0000"/>
          <w:sz w:val="24"/>
          <w:szCs w:val="24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>最佳创意奖：</w:t>
      </w:r>
      <w:r>
        <w:rPr>
          <w:rFonts w:ascii="Calibri" w:hAnsi="Calibri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f0000"/>
          <w:sz w:val="24"/>
          <w:szCs w:val="24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>项</w:t>
      </w:r>
    </w:p>
    <w:p>
      <w:pPr>
        <w:pStyle w:val="Normal.0"/>
        <w:ind w:left="210" w:firstLine="0"/>
        <w:rPr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f0000"/>
          <w:sz w:val="24"/>
          <w:szCs w:val="24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>最佳创业奖：</w:t>
      </w:r>
      <w:r>
        <w:rPr>
          <w:rFonts w:ascii="Calibri" w:hAnsi="Calibri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f0000"/>
          <w:sz w:val="24"/>
          <w:szCs w:val="24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>项</w:t>
      </w:r>
    </w:p>
    <w:p>
      <w:pPr>
        <w:pStyle w:val="Normal.0"/>
        <w:ind w:left="210" w:firstLine="0"/>
        <w:rPr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f0000"/>
          <w:sz w:val="24"/>
          <w:szCs w:val="24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>优秀指导老师奖：</w:t>
      </w:r>
      <w:r>
        <w:rPr>
          <w:rFonts w:ascii="Calibri" w:hAnsi="Calibri"/>
          <w:outline w:val="0"/>
          <w:color w:val="ff0000"/>
          <w:sz w:val="24"/>
          <w:szCs w:val="24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13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ff0000"/>
          <w:sz w:val="24"/>
          <w:szCs w:val="24"/>
          <w:u w:color="ff0000"/>
          <w:rtl w:val="0"/>
          <w:lang w:val="zh-TW" w:eastAsia="zh-TW"/>
          <w14:textFill>
            <w14:solidFill>
              <w14:srgbClr w14:val="FF0000"/>
            </w14:solidFill>
          </w14:textFill>
        </w:rPr>
        <w:t>项</w:t>
      </w:r>
    </w:p>
    <w:p>
      <w:pPr>
        <w:pStyle w:val="Normal.0"/>
        <w:rPr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spacing w:line="360" w:lineRule="auto"/>
        <w:rPr>
          <w:b w:val="1"/>
          <w:bCs w:val="1"/>
          <w:sz w:val="24"/>
          <w:szCs w:val="24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奖品设置</w:t>
      </w:r>
    </w:p>
    <w:p>
      <w:pPr>
        <w:pStyle w:val="Normal.0"/>
        <w:spacing w:line="360" w:lineRule="auto"/>
        <w:rPr>
          <w:sz w:val="32"/>
          <w:szCs w:val="32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奖品内容：学校颁发的获奖荣誉证书（纸质版及电子版）</w:t>
      </w:r>
    </w:p>
    <w:p>
      <w:pPr>
        <w:pStyle w:val="Normal.0"/>
        <w:spacing w:line="360" w:lineRule="auto"/>
        <w:rPr>
          <w:sz w:val="24"/>
          <w:szCs w:val="24"/>
          <w:lang w:val="zh-TW" w:eastAsia="zh-TW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zh-TW" w:eastAsia="zh-TW"/>
        </w:rPr>
        <w:t>依据奖项设置，颁发校级获奖荣誉证书（特等奖、一等奖、二等奖、三等奖、最佳创新奖、最佳创意奖、最佳创业奖、优秀指导老师奖）</w:t>
      </w:r>
    </w:p>
    <w:p>
      <w:pPr>
        <w:pStyle w:val="Normal.0"/>
        <w:spacing w:line="360" w:lineRule="auto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STZhongsong">
    <w:charset w:val="00"/>
    <w:family w:val="roman"/>
    <w:pitch w:val="default"/>
  </w:font>
  <w:font w:name="SimSu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8306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18"/>
      <w:szCs w:val="18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Calibri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